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3A2B"/>
        </w:rPr>
        <w:t>DPIA template: Independent school (England or Scotland)</w:t>
      </w:r>
    </w:p>
    <w:p>
      <w:r>
        <w:rPr>
          <w:b/>
          <w:i/>
        </w:rPr>
        <w:t>Template, 15 October 2026.</w:t>
      </w:r>
      <w:r>
        <w:rPr>
          <w:i/>
        </w:rPr>
        <w:t xml:space="preserve"> Sendix AI Ltd (the processor) has written this to save you time. It is not legal advice: your DPO decides. Sendix's own sections of the DPIA (v0.3, approved 9 October 2026, and the Scotland addition, approved 12 October 2026) are available on request from privacy@sendix.ai. Fill in every </w:t>
      </w:r>
      <w:r>
        <w:rPr>
          <w:b/>
          <w:i/>
        </w:rPr>
        <w:t>[bracket]</w:t>
      </w:r>
      <w:r>
        <w:rPr>
          <w:i/>
        </w:rPr>
        <w:t>.</w:t>
      </w:r>
    </w:p>
    <w:p>
      <w:pPr>
        <w:pStyle w:val="Heading2"/>
      </w:pPr>
      <w:r>
        <w:rPr>
          <w:color w:val="0B3A2B"/>
        </w:rPr>
        <w:t>1. Who is the controller, and who signs</w:t>
      </w:r>
    </w:p>
    <w:tbl>
      <w:tblPr>
        <w:tblStyle w:val="TableGrid"/>
        <w:tblW w:type="auto" w:w="0"/>
        <w:tblLook w:firstColumn="1" w:firstRow="1" w:lastColumn="0" w:lastRow="0" w:noHBand="0" w:noVBand="1" w:val="04A0"/>
      </w:tblPr>
      <w:tblGrid>
        <w:gridCol w:w="4320"/>
        <w:gridCol w:w="4320"/>
      </w:tblGrid>
      <w:tr>
        <w:tc>
          <w:tcPr>
            <w:tcW w:type="dxa" w:w="4320"/>
          </w:tcPr>
          <w:p>
            <w:r>
              <w:rPr>
                <w:b/>
              </w:rPr>
              <w:t>Controller</w:t>
            </w:r>
          </w:p>
        </w:tc>
        <w:tc>
          <w:tcPr>
            <w:tcW w:type="dxa" w:w="4320"/>
          </w:tcPr>
          <w:p>
            <w:r>
              <w:rPr>
                <w:b/>
              </w:rPr>
              <w:t>The school's proprietor: the company, charity or individual that owns and runs the school. For a school in a group, check whether the group company or the school's own company is the proprietor.</w:t>
            </w:r>
          </w:p>
        </w:tc>
      </w:tr>
      <w:tr>
        <w:tc>
          <w:tcPr>
            <w:tcW w:type="dxa" w:w="4320"/>
          </w:tcPr>
          <w:p>
            <w:r>
              <w:rPr>
                <w:b/>
              </w:rPr>
              <w:t>Who signs this DPIA</w:t>
            </w:r>
          </w:p>
        </w:tc>
        <w:tc>
          <w:tcPr>
            <w:tcW w:type="dxa" w:w="4320"/>
          </w:tcPr>
          <w:p>
            <w:r>
              <w:t>The proprietor: a director or trustee, the bursar, or another person the proprietor has authorised in writing. The school's DPO or data protection lead gives advice and records it.</w:t>
            </w:r>
          </w:p>
        </w:tc>
      </w:tr>
      <w:tr>
        <w:tc>
          <w:tcPr>
            <w:tcW w:type="dxa" w:w="4320"/>
          </w:tcPr>
          <w:p>
            <w:r>
              <w:rPr>
                <w:b/>
              </w:rPr>
              <w:t>Who signs the DPA with Sendix</w:t>
            </w:r>
          </w:p>
        </w:tc>
        <w:tc>
          <w:tcPr>
            <w:tcW w:type="dxa" w:w="4320"/>
          </w:tcPr>
          <w:p>
            <w:r>
              <w:t>The proprietor signs the DPA in the Sendix app, through someone it has authorised.</w:t>
            </w:r>
          </w:p>
        </w:tc>
      </w:tr>
      <w:tr>
        <w:tc>
          <w:tcPr>
            <w:tcW w:type="dxa" w:w="4320"/>
          </w:tcPr>
          <w:p>
            <w:r>
              <w:t>Controller name and address</w:t>
            </w:r>
          </w:p>
        </w:tc>
        <w:tc>
          <w:tcPr>
            <w:tcW w:type="dxa" w:w="4320"/>
          </w:tcPr>
          <w:p>
            <w:r>
              <w:rPr>
                <w:b/>
              </w:rPr>
              <w:t>[name, address]</w:t>
            </w:r>
          </w:p>
        </w:tc>
      </w:tr>
      <w:tr>
        <w:tc>
          <w:tcPr>
            <w:tcW w:type="dxa" w:w="4320"/>
          </w:tcPr>
          <w:p>
            <w:r>
              <w:t>Controller ICO registration</w:t>
            </w:r>
          </w:p>
        </w:tc>
        <w:tc>
          <w:tcPr>
            <w:tcW w:type="dxa" w:w="4320"/>
          </w:tcPr>
          <w:p>
            <w:r>
              <w:rPr>
                <w:b/>
              </w:rPr>
              <w:t>[number]</w:t>
            </w:r>
          </w:p>
        </w:tc>
      </w:tr>
      <w:tr>
        <w:tc>
          <w:tcPr>
            <w:tcW w:type="dxa" w:w="4320"/>
          </w:tcPr>
          <w:p>
            <w:r>
              <w:t>Controller DPO</w:t>
            </w:r>
          </w:p>
        </w:tc>
        <w:tc>
          <w:tcPr>
            <w:tcW w:type="dxa" w:w="4320"/>
          </w:tcPr>
          <w:p>
            <w:r>
              <w:rPr>
                <w:b/>
              </w:rPr>
              <w:t>[name and contact]</w:t>
            </w:r>
          </w:p>
        </w:tc>
      </w:tr>
      <w:tr>
        <w:tc>
          <w:tcPr>
            <w:tcW w:type="dxa" w:w="4320"/>
          </w:tcPr>
          <w:p>
            <w:r>
              <w:t>Processor</w:t>
            </w:r>
          </w:p>
        </w:tc>
        <w:tc>
          <w:tcPr>
            <w:tcW w:type="dxa" w:w="4320"/>
          </w:tcPr>
          <w:p>
            <w:r>
              <w:t>Sendix AI Ltd, SC883770, ICO ZC264381, privacy@sendix.ai</w:t>
            </w:r>
          </w:p>
        </w:tc>
      </w:tr>
    </w:tbl>
    <w:p/>
    <w:p>
      <w:pPr>
        <w:pStyle w:val="Heading2"/>
      </w:pPr>
      <w:r>
        <w:rPr>
          <w:color w:val="0B3A2B"/>
        </w:rPr>
        <w:t>2. What the processing is</w:t>
      </w:r>
    </w:p>
    <w:p>
      <w:pPr>
        <w:pStyle w:val="ListBullet"/>
      </w:pPr>
      <w:r>
        <w:rPr>
          <w:b/>
        </w:rPr>
        <w:t>Purpose.</w:t>
      </w:r>
      <w:r>
        <w:t xml:space="preserve"> Staff upload EHCPs (England), or IEPs and Child's Plans (Scotland).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 (England), or IEPs and Child's Plans (Scotland)]</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dates, and discards EHCP health and social care sections (C, D, G and H).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rPr>
          <w:color w:val="0B3A2B"/>
        </w:rPr>
        <w:t>3. Lawful basis</w:t>
      </w:r>
    </w:p>
    <w:p>
      <w:pPr>
        <w:pStyle w:val="ListBullet"/>
      </w:pPr>
      <w:r>
        <w:rPr>
          <w:b/>
        </w:rPr>
        <w:t>Article 6:</w:t>
      </w:r>
      <w:r>
        <w:t xml:space="preserve"> public task is generally not available to an independent school. Test the options in this order with your DPO: 6(1)(f) legitimate interests (planning and reviewing the support you give pupils with SEND or additional support needs, with a legitimate interests assessment: </w:t>
      </w:r>
      <w:r>
        <w:rPr>
          <w:b/>
        </w:rPr>
        <w:t>[reference]</w:t>
      </w:r>
      <w:r>
        <w:t>); then 6(1)(b) contract, only if your contract with parents covers this support.</w:t>
      </w:r>
    </w:p>
    <w:p>
      <w:pPr>
        <w:pStyle w:val="ListBullet"/>
      </w:pPr>
      <w:r>
        <w:rPr>
          <w:b/>
        </w:rPr>
        <w:t>Article 9:</w:t>
      </w:r>
      <w:r>
        <w:t xml:space="preserve"> for information about a pupil's disability, 9(2)(g) with Data Protection Act 2018, Schedule 1, paragraph 6, in connection with your duties to disabled pupils under the Equality Act 2010. Your Appropriate Policy Document: </w:t>
      </w:r>
      <w:r>
        <w:rPr>
          <w:b/>
        </w:rPr>
        <w:t>[reference]</w:t>
      </w:r>
      <w:r>
        <w:t>. Explicit consent, 9(2)(a), only as a fallback for content not covered: from the parent for pupils under 12, and in Scotland from pupils aged 12 or over who are able to understand.</w:t>
      </w:r>
    </w:p>
    <w:p>
      <w:pPr>
        <w:pStyle w:val="ListBullet"/>
      </w:pPr>
      <w:r>
        <w:rPr>
          <w:b/>
        </w:rPr>
        <w:t>Pupils placed by a local authority:</w:t>
      </w:r>
      <w:r>
        <w:t xml:space="preserve"> the authority may be the controller for those pupils' plans. Check the placement contract before including them.</w:t>
      </w:r>
    </w:p>
    <w:p>
      <w:r>
        <w:rPr>
          <w:b/>
        </w:rPr>
        <w:t>Necessity.</w:t>
      </w:r>
      <w:r>
        <w:t xml:space="preserve"> Sendix supports a review you already carry out. Only the parts of the plan the review needs are kept, identifiers are removed first, and staff decide every change.</w:t>
      </w:r>
    </w:p>
    <w:p>
      <w:pPr>
        <w:pStyle w:val="Heading2"/>
      </w:pPr>
      <w:r>
        <w:rPr>
          <w:color w:val="0B3A2B"/>
        </w:rP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Your contract with parents and your privacy notice should say that you use a processor to review plans.</w:t>
      </w:r>
    </w:p>
    <w:p>
      <w:pPr>
        <w:pStyle w:val="Heading2"/>
      </w:pPr>
      <w:r>
        <w:rPr>
          <w:color w:val="0B3A2B"/>
        </w:rPr>
        <w:t>5. Risks and measures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Sendix's measures</w:t>
            </w:r>
          </w:p>
        </w:tc>
        <w:tc>
          <w:tcPr>
            <w:tcW w:type="dxa" w:w="2160"/>
          </w:tcPr>
          <w:p>
            <w:r>
              <w:rPr>
                <w:b/>
              </w:rPr>
              <w:t>Your measures</w:t>
            </w:r>
          </w:p>
        </w:tc>
        <w:tc>
          <w:tcPr>
            <w:tcW w:type="dxa" w:w="2160"/>
          </w:tcPr>
          <w:p>
            <w:r>
              <w:rPr>
                <w:b/>
              </w:rPr>
              <w:t>Residual risk</w:t>
            </w:r>
          </w:p>
        </w:tc>
      </w:tr>
      <w:tr>
        <w:tc>
          <w:tcPr>
            <w:tcW w:type="dxa" w:w="2160"/>
          </w:tcPr>
          <w:p>
            <w:r>
              <w:t>Someone outside your school reads plan text</w:t>
            </w:r>
          </w:p>
        </w:tc>
        <w:tc>
          <w:tcPr>
            <w:tcW w:type="dxa" w:w="2160"/>
          </w:tcPr>
          <w:p>
            <w:r>
              <w:t>Per-school access checked in code and tested every build; MFA for SENCO and SEND lead accounts; UK hosting; independent penetration test completed before the first school's real data</w:t>
            </w:r>
          </w:p>
        </w:tc>
        <w:tc>
          <w:tcPr>
            <w:tcW w:type="dxa" w:w="2160"/>
          </w:tcPr>
          <w:p>
            <w:r>
              <w:t>Remove leavers promptly; staff keep MFA</w:t>
            </w:r>
          </w:p>
        </w:tc>
        <w:tc>
          <w:tcPr>
            <w:tcW w:type="dxa" w:w="2160"/>
          </w:tcPr>
          <w:p>
            <w:r>
              <w:rPr>
                <w:b/>
              </w:rPr>
              <w:t>[Low / Medium]</w:t>
            </w:r>
          </w:p>
        </w:tc>
      </w:tr>
      <w:tr>
        <w:tc>
          <w:tcPr>
            <w:tcW w:type="dxa" w:w="2160"/>
          </w:tcPr>
          <w:p>
            <w:r>
              <w:t>Re-identification from stored text</w:t>
            </w:r>
          </w:p>
        </w:tc>
        <w:tc>
          <w:tcPr>
            <w:tcW w:type="dxa" w:w="2160"/>
          </w:tcPr>
          <w:p>
            <w:r>
              <w:t>Identifiers removed; health and social care sections discarded; best-effort name redaction</w:t>
            </w:r>
          </w:p>
        </w:tc>
        <w:tc>
          <w:tcPr>
            <w:tcW w:type="dxa" w:w="2160"/>
          </w:tcPr>
          <w:p>
            <w:r>
              <w:t>Upload the plan only, not assessment packs or chronologies</w:t>
            </w:r>
          </w:p>
        </w:tc>
        <w:tc>
          <w:tcPr>
            <w:tcW w:type="dxa" w:w="2160"/>
          </w:tcPr>
          <w:p>
            <w:r>
              <w:rPr>
                <w:b/>
              </w:rPr>
              <w:t>[Low / Medium]</w:t>
            </w:r>
          </w:p>
        </w:tc>
      </w:tr>
      <w:tr>
        <w:tc>
          <w:tcPr>
            <w:tcW w:type="dxa" w:w="2160"/>
          </w:tcPr>
          <w:p>
            <w:r>
              <w:t>A suggestion is wrong and is relied on</w:t>
            </w:r>
          </w:p>
        </w:tc>
        <w:tc>
          <w:tcPr>
            <w:tcW w:type="dxa" w:w="2160"/>
          </w:tcPr>
          <w:p>
            <w:r>
              <w:t>Every flag cites its basis; suggestions use only evidence in the file; staff decide every change</w:t>
            </w:r>
          </w:p>
        </w:tc>
        <w:tc>
          <w:tcPr>
            <w:tcW w:type="dxa" w:w="2160"/>
          </w:tcPr>
          <w:p>
            <w:r>
              <w:t>Staff check each finding before acting on it</w:t>
            </w:r>
          </w:p>
        </w:tc>
        <w:tc>
          <w:tcPr>
            <w:tcW w:type="dxa" w:w="2160"/>
          </w:tcPr>
          <w:p>
            <w:r>
              <w:rPr>
                <w:b/>
              </w:rPr>
              <w:t>[Low]</w:t>
            </w:r>
          </w:p>
        </w:tc>
      </w:tr>
      <w:tr>
        <w:tc>
          <w:tcPr>
            <w:tcW w:type="dxa" w:w="2160"/>
          </w:tcPr>
          <w:p>
            <w:r>
              <w:t>Data kept too long</w:t>
            </w:r>
          </w:p>
        </w:tc>
        <w:tc>
          <w:tcPr>
            <w:tcW w:type="dxa" w:w="2160"/>
          </w:tcPr>
          <w:p>
            <w:r>
              <w:t>A daily job deletes records when your retention period ends; backups within 35 days</w:t>
            </w:r>
          </w:p>
        </w:tc>
        <w:tc>
          <w:tcPr>
            <w:tcW w:type="dxa" w:w="2160"/>
          </w:tcPr>
          <w:p>
            <w:r>
              <w:t xml:space="preserve">Set your retention period in Sendix: </w:t>
            </w:r>
            <w:r>
              <w:rPr>
                <w:b/>
              </w:rPr>
              <w:t>[days]</w:t>
            </w:r>
          </w:p>
        </w:tc>
        <w:tc>
          <w:tcPr>
            <w:tcW w:type="dxa" w:w="2160"/>
          </w:tcPr>
          <w:p>
            <w:r>
              <w:rPr>
                <w:b/>
              </w:rPr>
              <w:t>[Low]</w:t>
            </w:r>
          </w:p>
        </w:tc>
      </w:tr>
      <w:tr>
        <w:tc>
          <w:tcPr>
            <w:tcW w:type="dxa" w:w="2160"/>
          </w:tcPr>
          <w:p>
            <w:r>
              <w:t>Breach at Sendix</w:t>
            </w:r>
          </w:p>
        </w:tc>
        <w:tc>
          <w:tcPr>
            <w:tcW w:type="dxa" w:w="2160"/>
          </w:tcPr>
          <w:p>
            <w:r>
              <w:t>Notice to you within 24 hours (DPA clause 7.1)</w:t>
            </w:r>
          </w:p>
        </w:tc>
        <w:tc>
          <w:tcPr>
            <w:tcW w:type="dxa" w:w="2160"/>
          </w:tcPr>
          <w:p>
            <w:r>
              <w:t>Your breach procedure covers processors</w:t>
            </w:r>
          </w:p>
        </w:tc>
        <w:tc>
          <w:tcPr>
            <w:tcW w:type="dxa" w:w="2160"/>
          </w:tcPr>
          <w:p>
            <w:r>
              <w:rPr>
                <w:b/>
              </w:rPr>
              <w:t>[Low / Medium]</w:t>
            </w:r>
          </w:p>
        </w:tc>
      </w:tr>
    </w:tbl>
    <w:p/>
    <w:p>
      <w:pPr>
        <w:pStyle w:val="Heading2"/>
      </w:pPr>
      <w:r>
        <w:rPr>
          <w:color w:val="0B3A2B"/>
        </w:rPr>
        <w:t>6. Your own measures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Measure</w:t>
            </w:r>
          </w:p>
        </w:tc>
        <w:tc>
          <w:tcPr>
            <w:tcW w:type="dxa" w:w="2880"/>
          </w:tcPr>
          <w:p>
            <w:r>
              <w:rPr>
                <w:b/>
              </w:rPr>
              <w:t>Owner</w:t>
            </w:r>
          </w:p>
        </w:tc>
        <w:tc>
          <w:tcPr>
            <w:tcW w:type="dxa" w:w="2880"/>
          </w:tcPr>
          <w:p>
            <w:r>
              <w:rPr>
                <w:b/>
              </w:rPr>
              <w:t>Done</w:t>
            </w:r>
          </w:p>
        </w:tc>
      </w:tr>
      <w:tr>
        <w:tc>
          <w:tcPr>
            <w:tcW w:type="dxa" w:w="2880"/>
          </w:tcPr>
          <w:p>
            <w:r>
              <w:t>Privacy notice updated</w:t>
            </w:r>
          </w:p>
        </w:tc>
        <w:tc>
          <w:tcPr>
            <w:tcW w:type="dxa" w:w="2880"/>
          </w:tcPr>
          <w:p>
            <w:r>
              <w:rPr>
                <w:b/>
              </w:rPr>
              <w:t>[role]</w:t>
            </w:r>
          </w:p>
        </w:tc>
        <w:tc>
          <w:tcPr>
            <w:tcW w:type="dxa" w:w="2880"/>
          </w:tcPr>
          <w:p>
            <w:r>
              <w:rPr>
                <w:b/>
              </w:rPr>
              <w:t>[date]</w:t>
            </w:r>
          </w:p>
        </w:tc>
      </w:tr>
      <w:tr>
        <w:tc>
          <w:tcPr>
            <w:tcW w:type="dxa" w:w="2880"/>
          </w:tcPr>
          <w:p>
            <w:r>
              <w:t>Appropriate Policy Document updated</w:t>
            </w:r>
          </w:p>
        </w:tc>
        <w:tc>
          <w:tcPr>
            <w:tcW w:type="dxa" w:w="2880"/>
          </w:tcPr>
          <w:p>
            <w:r>
              <w:rPr>
                <w:b/>
              </w:rPr>
              <w:t>[role]</w:t>
            </w:r>
          </w:p>
        </w:tc>
        <w:tc>
          <w:tcPr>
            <w:tcW w:type="dxa" w:w="2880"/>
          </w:tcPr>
          <w:p>
            <w:r>
              <w:rPr>
                <w:b/>
              </w:rPr>
              <w:t>[date]</w:t>
            </w:r>
          </w:p>
        </w:tc>
      </w:tr>
      <w:tr>
        <w:tc>
          <w:tcPr>
            <w:tcW w:type="dxa" w:w="2880"/>
          </w:tcPr>
          <w:p>
            <w:r>
              <w:t>Retention period set in Sendix</w:t>
            </w:r>
          </w:p>
        </w:tc>
        <w:tc>
          <w:tcPr>
            <w:tcW w:type="dxa" w:w="2880"/>
          </w:tcPr>
          <w:p>
            <w:r>
              <w:rPr>
                <w:b/>
              </w:rPr>
              <w:t>[role]</w:t>
            </w:r>
          </w:p>
        </w:tc>
        <w:tc>
          <w:tcPr>
            <w:tcW w:type="dxa" w:w="2880"/>
          </w:tcPr>
          <w:p>
            <w:r>
              <w:rPr>
                <w:b/>
              </w:rPr>
              <w:t>[date]</w:t>
            </w:r>
          </w:p>
        </w:tc>
      </w:tr>
      <w:tr>
        <w:tc>
          <w:tcPr>
            <w:tcW w:type="dxa" w:w="2880"/>
          </w:tcPr>
          <w:p>
            <w:r>
              <w:t>Staff briefed (upload the plan only; use roles, not names, in notes)</w:t>
            </w:r>
          </w:p>
        </w:tc>
        <w:tc>
          <w:tcPr>
            <w:tcW w:type="dxa" w:w="2880"/>
          </w:tcPr>
          <w:p>
            <w:r>
              <w:t>SEND lead</w:t>
            </w:r>
          </w:p>
        </w:tc>
        <w:tc>
          <w:tcPr>
            <w:tcW w:type="dxa" w:w="2880"/>
          </w:tcPr>
          <w:p>
            <w:r>
              <w:rPr>
                <w:b/>
              </w:rPr>
              <w:t>[date]</w:t>
            </w:r>
          </w:p>
        </w:tc>
      </w:tr>
      <w:tr>
        <w:tc>
          <w:tcPr>
            <w:tcW w:type="dxa" w:w="2880"/>
          </w:tcPr>
          <w:p>
            <w:r>
              <w:t>Review after the first term</w:t>
            </w:r>
          </w:p>
        </w:tc>
        <w:tc>
          <w:tcPr>
            <w:tcW w:type="dxa" w:w="2880"/>
          </w:tcPr>
          <w:p>
            <w:r>
              <w:t>SEND lead and DPO</w:t>
            </w:r>
          </w:p>
        </w:tc>
        <w:tc>
          <w:tcPr>
            <w:tcW w:type="dxa" w:w="2880"/>
          </w:tcPr>
          <w:p>
            <w:r>
              <w:rPr>
                <w:b/>
              </w:rPr>
              <w:t>[date]</w:t>
            </w:r>
          </w:p>
        </w:tc>
      </w:tr>
    </w:tbl>
    <w:p/>
    <w:p>
      <w:pPr>
        <w:pStyle w:val="Heading2"/>
      </w:pPr>
      <w:r>
        <w:rPr>
          <w:color w:val="0B3A2B"/>
        </w:rPr>
        <w:t>7. Sign-off</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r>
              <w:rPr>
                <w:b/>
              </w:rPr>
              <w:t>Name and role</w:t>
            </w:r>
          </w:p>
        </w:tc>
        <w:tc>
          <w:tcPr>
            <w:tcW w:type="dxa" w:w="2880"/>
          </w:tcPr>
          <w:p>
            <w:r>
              <w:rPr>
                <w:b/>
              </w:rPr>
              <w:t>Date</w:t>
            </w:r>
          </w:p>
        </w:tc>
      </w:tr>
      <w:tr>
        <w:tc>
          <w:tcPr>
            <w:tcW w:type="dxa" w:w="2880"/>
          </w:tcPr>
          <w:p>
            <w:r>
              <w:t>Measures approved, for the controller</w:t>
            </w:r>
          </w:p>
        </w:tc>
        <w:tc>
          <w:tcPr>
            <w:tcW w:type="dxa" w:w="2880"/>
          </w:tcPr>
          <w:p>
            <w:r>
              <w:rPr>
                <w:b/>
              </w:rPr>
              <w:t>[see section 1: who signs]</w:t>
            </w:r>
          </w:p>
        </w:tc>
        <w:tc>
          <w:tcPr>
            <w:tcW w:type="dxa" w:w="2880"/>
          </w:tcPr>
          <w:p/>
        </w:tc>
      </w:tr>
      <w:tr>
        <w:tc>
          <w:tcPr>
            <w:tcW w:type="dxa" w:w="2880"/>
          </w:tcPr>
          <w:p>
            <w:r>
              <w:t>Residual risks accepted</w:t>
            </w:r>
          </w:p>
        </w:tc>
        <w:tc>
          <w:tcPr>
            <w:tcW w:type="dxa" w:w="2880"/>
          </w:tcPr>
          <w:p>
            <w:r>
              <w:rPr>
                <w:b/>
              </w:rPr>
              <w:t>[as above]</w:t>
            </w:r>
          </w:p>
        </w:tc>
        <w:tc>
          <w:tcPr>
            <w:tcW w:type="dxa" w:w="2880"/>
          </w:tcPr>
          <w:p/>
        </w:tc>
      </w:tr>
      <w:tr>
        <w:tc>
          <w:tcPr>
            <w:tcW w:type="dxa" w:w="2880"/>
          </w:tcPr>
          <w:p>
            <w:r>
              <w:t>DPO advice (and whether it was followed)</w:t>
            </w:r>
          </w:p>
        </w:tc>
        <w:tc>
          <w:tcPr>
            <w:tcW w:type="dxa" w:w="2880"/>
          </w:tcPr>
          <w:p>
            <w:r>
              <w:rPr>
                <w:b/>
              </w:rPr>
              <w:t>[DPO]</w:t>
            </w:r>
          </w:p>
        </w:tc>
        <w:tc>
          <w:tcPr>
            <w:tcW w:type="dxa" w:w="2880"/>
          </w:tcPr>
          <w:p/>
        </w:tc>
      </w:tr>
      <w:tr>
        <w:tc>
          <w:tcPr>
            <w:tcW w:type="dxa" w:w="2880"/>
          </w:tcPr>
          <w:p>
            <w:r>
              <w:t>Next review</w:t>
            </w:r>
          </w:p>
        </w:tc>
        <w:tc>
          <w:tcPr>
            <w:tcW w:type="dxa" w:w="2880"/>
          </w:tcPr>
          <w:p>
            <w:r>
              <w:t>After the first term, then yearly, and when Sendix notifies a change</w:t>
            </w:r>
          </w:p>
        </w:tc>
        <w:tc>
          <w:tcPr>
            <w:tcW w:type="dxa" w:w="2880"/>
          </w:tcPr>
          <w:p/>
        </w:tc>
      </w:tr>
    </w:tbl>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Sendix AI Ltd · SC883770 · registered in Scotland · ICO ZC264381 · privacy@sendix.ai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